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1FC" w:rsidRPr="006B31FC" w:rsidRDefault="006B31FC" w:rsidP="006B31FC">
      <w:pPr>
        <w:keepNext/>
        <w:spacing w:after="0" w:line="240" w:lineRule="auto"/>
        <w:ind w:left="4248" w:firstLine="708"/>
        <w:jc w:val="right"/>
        <w:outlineLvl w:val="0"/>
        <w:rPr>
          <w:rFonts w:ascii="Arial" w:eastAsia="Times New Roman" w:hAnsi="Arial" w:cs="Arial"/>
          <w:sz w:val="24"/>
          <w:szCs w:val="20"/>
          <w:lang w:eastAsia="pl-PL"/>
        </w:rPr>
      </w:pPr>
      <w:r w:rsidRPr="006B31FC">
        <w:rPr>
          <w:rFonts w:ascii="Arial" w:eastAsia="Times New Roman" w:hAnsi="Arial" w:cs="Arial"/>
          <w:sz w:val="24"/>
          <w:szCs w:val="20"/>
          <w:lang w:eastAsia="pl-PL"/>
        </w:rPr>
        <w:t>Załącznik Nr 3</w:t>
      </w:r>
    </w:p>
    <w:p w:rsidR="006B31FC" w:rsidRPr="006B31FC" w:rsidRDefault="006B31FC" w:rsidP="006B31FC">
      <w:pPr>
        <w:spacing w:after="0" w:line="240" w:lineRule="auto"/>
        <w:rPr>
          <w:rFonts w:ascii="Arial" w:eastAsia="Calibri" w:hAnsi="Arial" w:cs="Arial"/>
        </w:rPr>
      </w:pPr>
    </w:p>
    <w:p w:rsidR="006B31FC" w:rsidRPr="006B31FC" w:rsidRDefault="006B31FC" w:rsidP="006B31FC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B31FC">
        <w:rPr>
          <w:rFonts w:ascii="Arial" w:eastAsia="Calibri" w:hAnsi="Arial" w:cs="Arial"/>
          <w:sz w:val="24"/>
          <w:szCs w:val="24"/>
        </w:rPr>
        <w:tab/>
        <w:t>do uchwały Nr XXI/151/2012</w:t>
      </w:r>
    </w:p>
    <w:p w:rsidR="006B31FC" w:rsidRPr="006B31FC" w:rsidRDefault="006B31FC" w:rsidP="006B31FC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B31FC">
        <w:rPr>
          <w:rFonts w:ascii="Arial" w:eastAsia="Calibri" w:hAnsi="Arial" w:cs="Arial"/>
          <w:sz w:val="24"/>
          <w:szCs w:val="24"/>
        </w:rPr>
        <w:tab/>
        <w:t>Rady Miejskiej w Lubniewicach</w:t>
      </w:r>
    </w:p>
    <w:p w:rsidR="006B31FC" w:rsidRPr="006B31FC" w:rsidRDefault="006B31FC" w:rsidP="006B31FC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B31FC">
        <w:rPr>
          <w:rFonts w:ascii="Arial" w:eastAsia="Calibri" w:hAnsi="Arial" w:cs="Arial"/>
          <w:sz w:val="24"/>
          <w:szCs w:val="24"/>
        </w:rPr>
        <w:tab/>
        <w:t xml:space="preserve">z dnia  22 listopada  2012 r.                          </w:t>
      </w:r>
    </w:p>
    <w:p w:rsidR="006B31FC" w:rsidRPr="006B31FC" w:rsidRDefault="006B31FC" w:rsidP="006B31FC">
      <w:pPr>
        <w:spacing w:after="0" w:line="240" w:lineRule="auto"/>
        <w:rPr>
          <w:rFonts w:ascii="Arial" w:eastAsia="Calibri" w:hAnsi="Arial" w:cs="Arial"/>
          <w:sz w:val="24"/>
        </w:rPr>
      </w:pPr>
    </w:p>
    <w:p w:rsidR="006B31FC" w:rsidRPr="006B31FC" w:rsidRDefault="006B31FC" w:rsidP="006B31FC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0"/>
          <w:lang w:eastAsia="pl-PL"/>
        </w:rPr>
      </w:pPr>
      <w:r w:rsidRPr="006B31FC">
        <w:rPr>
          <w:rFonts w:ascii="Arial" w:eastAsia="Times New Roman" w:hAnsi="Arial" w:cs="Arial"/>
          <w:b/>
          <w:sz w:val="24"/>
          <w:szCs w:val="20"/>
          <w:lang w:eastAsia="pl-PL"/>
        </w:rPr>
        <w:t>ROZTRZYGNIĘCIE</w:t>
      </w:r>
    </w:p>
    <w:p w:rsidR="006B31FC" w:rsidRPr="006B31FC" w:rsidRDefault="006B31FC" w:rsidP="006B31FC">
      <w:pPr>
        <w:spacing w:after="0" w:line="240" w:lineRule="auto"/>
        <w:rPr>
          <w:rFonts w:ascii="Arial" w:eastAsia="Calibri" w:hAnsi="Arial" w:cs="Arial"/>
        </w:rPr>
      </w:pPr>
    </w:p>
    <w:p w:rsidR="006B31FC" w:rsidRPr="006B31FC" w:rsidRDefault="006B31FC" w:rsidP="006B31F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0"/>
          <w:lang w:eastAsia="pl-PL"/>
        </w:rPr>
      </w:pPr>
      <w:r w:rsidRPr="006B31FC">
        <w:rPr>
          <w:rFonts w:ascii="Arial" w:eastAsia="Times New Roman" w:hAnsi="Arial" w:cs="Arial"/>
          <w:b/>
          <w:bCs/>
          <w:sz w:val="24"/>
          <w:szCs w:val="20"/>
          <w:lang w:eastAsia="pl-PL"/>
        </w:rPr>
        <w:t xml:space="preserve">o sposobie rozpatrzenia uwag wniesionych do projektu miejscowego planu zagospodarowania przestrzennego </w:t>
      </w:r>
      <w:r w:rsidRPr="006B31FC">
        <w:rPr>
          <w:rFonts w:ascii="Arial" w:eastAsia="Times New Roman" w:hAnsi="Arial" w:cs="Times New Roman"/>
          <w:b/>
          <w:bCs/>
          <w:sz w:val="24"/>
          <w:szCs w:val="20"/>
          <w:lang w:eastAsia="pl-PL"/>
        </w:rPr>
        <w:t>Gminy Lubniewice w obrębie Glisno w rejonie jez. Lubniewsko</w:t>
      </w:r>
    </w:p>
    <w:p w:rsidR="006B31FC" w:rsidRPr="006B31FC" w:rsidRDefault="006B31FC" w:rsidP="006B31F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0"/>
          <w:lang w:eastAsia="pl-PL"/>
        </w:rPr>
      </w:pPr>
    </w:p>
    <w:p w:rsidR="006B31FC" w:rsidRPr="006B31FC" w:rsidRDefault="006B31FC" w:rsidP="006B31F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6B31FC">
        <w:rPr>
          <w:rFonts w:ascii="Arial" w:eastAsia="Times New Roman" w:hAnsi="Arial" w:cs="Arial"/>
          <w:sz w:val="24"/>
          <w:szCs w:val="20"/>
          <w:lang w:eastAsia="pl-PL"/>
        </w:rPr>
        <w:t>Brak uwag do niniejszego planu, które zgodnie z art. 20 ust. 1 ustawy z dnia 27 marca 2003 r. o planowaniu i zagospodarowaniu przestrzennym (t.j. Dz. U. z 2012 r. poz. 647) Rada Miejska w Lubniewicach ma obowiązek rozpatrzenia.</w:t>
      </w:r>
    </w:p>
    <w:p w:rsidR="006B31FC" w:rsidRPr="006B31FC" w:rsidRDefault="006B31FC" w:rsidP="006B31FC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0"/>
          <w:lang w:eastAsia="pl-PL"/>
        </w:rPr>
      </w:pPr>
    </w:p>
    <w:p w:rsidR="000F75FD" w:rsidRDefault="000F75FD">
      <w:bookmarkStart w:id="0" w:name="_GoBack"/>
      <w:bookmarkEnd w:id="0"/>
    </w:p>
    <w:sectPr w:rsidR="000F7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1FC"/>
    <w:rsid w:val="000F75FD"/>
    <w:rsid w:val="006B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2012-11-26T15:29:00Z</dcterms:created>
  <dcterms:modified xsi:type="dcterms:W3CDTF">2012-11-26T15:30:00Z</dcterms:modified>
</cp:coreProperties>
</file>